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D" w:rsidRDefault="00EA29FD">
      <w:pPr>
        <w:spacing w:before="10"/>
        <w:rPr>
          <w:sz w:val="16"/>
        </w:rPr>
      </w:pPr>
    </w:p>
    <w:p w:rsidR="00EA29FD" w:rsidRPr="0086490B" w:rsidRDefault="0086490B" w:rsidP="0086490B">
      <w:pPr>
        <w:pStyle w:val="a3"/>
        <w:jc w:val="center"/>
        <w:rPr>
          <w:b/>
          <w:sz w:val="24"/>
          <w:szCs w:val="24"/>
        </w:rPr>
      </w:pPr>
      <w:r w:rsidRPr="0086490B">
        <w:rPr>
          <w:rFonts w:eastAsia="Century Gothic"/>
          <w:b/>
          <w:bCs/>
          <w:sz w:val="24"/>
          <w:szCs w:val="24"/>
          <w:lang w:val="ru-RU"/>
        </w:rPr>
        <w:t>Список значений с описанием</w:t>
      </w:r>
      <w:r w:rsidR="0031462B">
        <w:rPr>
          <w:rFonts w:eastAsia="Century Gothic"/>
          <w:b/>
          <w:bCs/>
          <w:sz w:val="24"/>
          <w:szCs w:val="24"/>
          <w:lang w:val="ru-RU"/>
        </w:rPr>
        <w:t>*</w:t>
      </w:r>
    </w:p>
    <w:p w:rsidR="00EA29FD" w:rsidRDefault="00EA29FD">
      <w:pPr>
        <w:pStyle w:val="a3"/>
        <w:spacing w:before="3"/>
        <w:rPr>
          <w:rFonts w:ascii="Century Gothic"/>
          <w:b/>
          <w:sz w:val="2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7"/>
        <w:gridCol w:w="6905"/>
        <w:gridCol w:w="41"/>
      </w:tblGrid>
      <w:tr w:rsidR="00EA29FD" w:rsidTr="00BE6D0C">
        <w:trPr>
          <w:trHeight w:val="423"/>
        </w:trPr>
        <w:tc>
          <w:tcPr>
            <w:tcW w:w="992" w:type="dxa"/>
            <w:shd w:val="clear" w:color="auto" w:fill="BEBEBE"/>
          </w:tcPr>
          <w:p w:rsidR="00EA29FD" w:rsidRDefault="008B49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w="1417" w:type="dxa"/>
            <w:shd w:val="clear" w:color="auto" w:fill="BEBEBE"/>
          </w:tcPr>
          <w:p w:rsidR="00EA29FD" w:rsidRDefault="008B49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6946" w:type="dxa"/>
            <w:gridSpan w:val="2"/>
            <w:shd w:val="clear" w:color="auto" w:fill="BEBEBE"/>
          </w:tcPr>
          <w:p w:rsidR="00EA29FD" w:rsidRDefault="008B496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Further details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BSBK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Buy Sell Back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6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buy/sell back transaction.</w:t>
            </w:r>
          </w:p>
        </w:tc>
      </w:tr>
      <w:tr w:rsidR="00EA29FD" w:rsidTr="00BE6D0C">
        <w:trPr>
          <w:gridAfter w:val="1"/>
          <w:wAfter w:w="41" w:type="dxa"/>
          <w:trHeight w:val="606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CNCB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ind w:right="342" w:hanging="1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Central Bank Collateral Operation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collateral delivery/receipt to/from a National Central Bank for central bank credit operations.</w:t>
            </w:r>
          </w:p>
        </w:tc>
      </w:tr>
      <w:tr w:rsidR="00EA29FD" w:rsidTr="00BE6D0C">
        <w:trPr>
          <w:gridAfter w:val="1"/>
          <w:wAfter w:w="41" w:type="dxa"/>
          <w:trHeight w:val="609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COLI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Collateral In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spacing w:before="118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collateral transaction, from the point of view of the collateral taker or its agent.</w:t>
            </w:r>
          </w:p>
        </w:tc>
      </w:tr>
      <w:tr w:rsidR="00EA29FD" w:rsidTr="00BE6D0C">
        <w:trPr>
          <w:gridAfter w:val="1"/>
          <w:wAfter w:w="41" w:type="dxa"/>
          <w:trHeight w:val="606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COLO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Collateral Out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 w:hanging="2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collateral transaction, from the point of view of the collateral giver or its agent.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ETFT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Exchange Traded Funds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spacing w:before="118"/>
              <w:ind w:left="106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an Exchange Traded Fund (ETF) creation or redemption.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ISSU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Issuance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the issuance of a security such as an equity or a depository receipt.</w:t>
            </w:r>
          </w:p>
        </w:tc>
      </w:tr>
      <w:tr w:rsidR="00EA29FD" w:rsidTr="00BE6D0C">
        <w:trPr>
          <w:gridAfter w:val="1"/>
          <w:wAfter w:w="41" w:type="dxa"/>
          <w:trHeight w:val="728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OWNE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External Account Transfer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an account transfer involving more than one instructing party (messages sender) and/or account servicer (messages receiver).</w:t>
            </w:r>
          </w:p>
        </w:tc>
      </w:tr>
      <w:tr w:rsidR="00EA29FD" w:rsidTr="00BE6D0C">
        <w:trPr>
          <w:gridAfter w:val="1"/>
          <w:wAfter w:w="41" w:type="dxa"/>
          <w:trHeight w:val="725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OWNI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Internal Account Transfer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an account transfer involving one instructing party (messages sender) at one account servicer (messages receiver).</w:t>
            </w:r>
          </w:p>
        </w:tc>
      </w:tr>
      <w:tr w:rsidR="00EA29FD" w:rsidTr="00BE6D0C">
        <w:trPr>
          <w:gridAfter w:val="1"/>
          <w:wAfter w:w="41" w:type="dxa"/>
          <w:trHeight w:val="424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PLAC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Placement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the placement/new issue of a financial instrument.</w:t>
            </w:r>
          </w:p>
        </w:tc>
      </w:tr>
      <w:tr w:rsidR="00EA29FD" w:rsidTr="00BE6D0C">
        <w:trPr>
          <w:gridAfter w:val="1"/>
          <w:wAfter w:w="41" w:type="dxa"/>
          <w:trHeight w:val="975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PORT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Portfolio Move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 xml:space="preserve">Relates to a portfolio move from one investment manager to another and/or from an account servicer to another. It </w:t>
            </w:r>
            <w:proofErr w:type="gramStart"/>
            <w:r w:rsidRPr="00BE6D0C">
              <w:rPr>
                <w:sz w:val="18"/>
                <w:szCs w:val="18"/>
              </w:rPr>
              <w:t>is generally charged</w:t>
            </w:r>
            <w:proofErr w:type="gramEnd"/>
            <w:r w:rsidRPr="00BE6D0C">
              <w:rPr>
                <w:sz w:val="18"/>
                <w:szCs w:val="18"/>
              </w:rPr>
              <w:t xml:space="preserve"> differently than another account transfer (OWNE, OWNI, INSP), hence the need to identify this type of transfer as such.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REPU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Repo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repurchase agreement transaction.</w:t>
            </w:r>
          </w:p>
        </w:tc>
      </w:tr>
      <w:tr w:rsidR="00EA29FD" w:rsidTr="00BE6D0C">
        <w:trPr>
          <w:gridAfter w:val="1"/>
          <w:wAfter w:w="41" w:type="dxa"/>
          <w:trHeight w:val="421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RVPO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Reverse Repo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reverse repurchase agreement transaction.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SBBK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Sell Buy Back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spacing w:before="118"/>
              <w:ind w:left="106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 xml:space="preserve">Relates to a </w:t>
            </w:r>
            <w:proofErr w:type="gramStart"/>
            <w:r w:rsidRPr="00BE6D0C">
              <w:rPr>
                <w:sz w:val="18"/>
                <w:szCs w:val="18"/>
              </w:rPr>
              <w:t>sell buy back transaction</w:t>
            </w:r>
            <w:proofErr w:type="gramEnd"/>
            <w:r w:rsidRPr="00BE6D0C">
              <w:rPr>
                <w:sz w:val="18"/>
                <w:szCs w:val="18"/>
              </w:rPr>
              <w:t>.</w:t>
            </w:r>
          </w:p>
        </w:tc>
      </w:tr>
      <w:tr w:rsidR="00EA29FD" w:rsidTr="00BE6D0C">
        <w:trPr>
          <w:gridAfter w:val="1"/>
          <w:wAfter w:w="41" w:type="dxa"/>
          <w:trHeight w:val="608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SBRE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Borrowing reallocation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8" w:hanging="2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Internal reallocation of a borrowed holding from one safekeeping account to another.</w:t>
            </w:r>
          </w:p>
        </w:tc>
      </w:tr>
      <w:tr w:rsidR="00EA29FD" w:rsidTr="00BE6D0C">
        <w:trPr>
          <w:gridAfter w:val="1"/>
          <w:wAfter w:w="41" w:type="dxa"/>
          <w:trHeight w:val="424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SECB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Securities Borrowing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6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securities borrowing operation.</w:t>
            </w:r>
          </w:p>
        </w:tc>
      </w:tr>
      <w:tr w:rsidR="00EA29FD" w:rsidTr="00BE6D0C">
        <w:trPr>
          <w:gridAfter w:val="1"/>
          <w:wAfter w:w="41" w:type="dxa"/>
          <w:trHeight w:val="421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SECL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Securities Lending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securities lending operation.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TRAD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Trade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spacing w:before="118"/>
              <w:ind w:left="108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the settlement of a trade.</w:t>
            </w:r>
          </w:p>
        </w:tc>
      </w:tr>
      <w:tr w:rsidR="00EA29FD" w:rsidTr="00BE6D0C">
        <w:trPr>
          <w:gridAfter w:val="1"/>
          <w:wAfter w:w="41" w:type="dxa"/>
          <w:trHeight w:val="423"/>
        </w:trPr>
        <w:tc>
          <w:tcPr>
            <w:tcW w:w="992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TRVO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Triparty Reverse Repo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ind w:left="106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triparty reverse repurchase agreement.</w:t>
            </w:r>
          </w:p>
        </w:tc>
      </w:tr>
      <w:tr w:rsidR="00EA29FD" w:rsidTr="00BE6D0C">
        <w:trPr>
          <w:gridAfter w:val="1"/>
          <w:wAfter w:w="41" w:type="dxa"/>
          <w:trHeight w:val="790"/>
        </w:trPr>
        <w:tc>
          <w:tcPr>
            <w:tcW w:w="992" w:type="dxa"/>
          </w:tcPr>
          <w:p w:rsidR="00EA29FD" w:rsidRPr="00BE6D0C" w:rsidRDefault="00EA29FD">
            <w:pPr>
              <w:pStyle w:val="TableParagraph"/>
              <w:spacing w:before="8"/>
              <w:ind w:left="0"/>
              <w:rPr>
                <w:rFonts w:ascii="Century Gothic"/>
                <w:b/>
                <w:sz w:val="18"/>
                <w:szCs w:val="18"/>
              </w:rPr>
            </w:pPr>
          </w:p>
          <w:p w:rsidR="00EA29FD" w:rsidRPr="00BE6D0C" w:rsidRDefault="008B496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TRPO</w:t>
            </w:r>
          </w:p>
        </w:tc>
        <w:tc>
          <w:tcPr>
            <w:tcW w:w="1417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Triparty Repo</w:t>
            </w:r>
          </w:p>
        </w:tc>
        <w:tc>
          <w:tcPr>
            <w:tcW w:w="6905" w:type="dxa"/>
          </w:tcPr>
          <w:p w:rsidR="00EA29FD" w:rsidRPr="00BE6D0C" w:rsidRDefault="008B4963">
            <w:pPr>
              <w:pStyle w:val="TableParagraph"/>
              <w:rPr>
                <w:sz w:val="18"/>
                <w:szCs w:val="18"/>
              </w:rPr>
            </w:pPr>
            <w:r w:rsidRPr="00BE6D0C">
              <w:rPr>
                <w:sz w:val="18"/>
                <w:szCs w:val="18"/>
              </w:rPr>
              <w:t>Relates to a triparty repurchase agreement.</w:t>
            </w:r>
          </w:p>
        </w:tc>
      </w:tr>
    </w:tbl>
    <w:p w:rsidR="0031462B" w:rsidRPr="00BE6D0C" w:rsidRDefault="0031462B"/>
    <w:p w:rsidR="008B4963" w:rsidRPr="00BE6D0C" w:rsidRDefault="0031462B" w:rsidP="00BE6D0C">
      <w:pPr>
        <w:ind w:firstLine="426"/>
        <w:rPr>
          <w:sz w:val="20"/>
          <w:szCs w:val="20"/>
          <w:lang w:val="ru-RU"/>
        </w:rPr>
      </w:pPr>
      <w:r>
        <w:rPr>
          <w:lang w:val="ru-RU"/>
        </w:rPr>
        <w:t xml:space="preserve">*- </w:t>
      </w:r>
      <w:r w:rsidRPr="00BE6D0C">
        <w:rPr>
          <w:sz w:val="20"/>
          <w:szCs w:val="20"/>
          <w:lang w:val="ru-RU"/>
        </w:rPr>
        <w:t xml:space="preserve">данные значения были предоставлены </w:t>
      </w:r>
      <w:r w:rsidR="00BE6D0C" w:rsidRPr="00BE6D0C">
        <w:rPr>
          <w:sz w:val="20"/>
          <w:szCs w:val="20"/>
          <w:lang w:val="ru-RU"/>
        </w:rPr>
        <w:t>11</w:t>
      </w:r>
      <w:r w:rsidR="00BE6D0C">
        <w:rPr>
          <w:sz w:val="20"/>
          <w:szCs w:val="20"/>
          <w:lang w:val="ru-RU"/>
        </w:rPr>
        <w:t>.</w:t>
      </w:r>
      <w:r w:rsidR="00BE6D0C" w:rsidRPr="00BE6D0C">
        <w:rPr>
          <w:sz w:val="20"/>
          <w:szCs w:val="20"/>
          <w:lang w:val="ru-RU"/>
        </w:rPr>
        <w:t>06</w:t>
      </w:r>
      <w:r w:rsidR="00BE6D0C">
        <w:rPr>
          <w:sz w:val="20"/>
          <w:szCs w:val="20"/>
          <w:lang w:val="ru-RU"/>
        </w:rPr>
        <w:t>.</w:t>
      </w:r>
      <w:r w:rsidR="00BE6D0C" w:rsidRPr="00BE6D0C">
        <w:rPr>
          <w:sz w:val="20"/>
          <w:szCs w:val="20"/>
          <w:lang w:val="ru-RU"/>
        </w:rPr>
        <w:t>2020</w:t>
      </w:r>
      <w:r w:rsidR="00BE6D0C">
        <w:rPr>
          <w:sz w:val="20"/>
          <w:szCs w:val="20"/>
          <w:lang w:val="ru-RU"/>
        </w:rPr>
        <w:t xml:space="preserve"> </w:t>
      </w:r>
      <w:proofErr w:type="spellStart"/>
      <w:r w:rsidRPr="00BE6D0C">
        <w:rPr>
          <w:sz w:val="20"/>
          <w:szCs w:val="20"/>
        </w:rPr>
        <w:t>Euroclear</w:t>
      </w:r>
      <w:proofErr w:type="spellEnd"/>
      <w:r w:rsidRPr="00BE6D0C">
        <w:rPr>
          <w:sz w:val="20"/>
          <w:szCs w:val="20"/>
          <w:lang w:val="ru-RU"/>
        </w:rPr>
        <w:t xml:space="preserve"> </w:t>
      </w:r>
      <w:r w:rsidRPr="00BE6D0C">
        <w:rPr>
          <w:sz w:val="20"/>
          <w:szCs w:val="20"/>
        </w:rPr>
        <w:t>Bank</w:t>
      </w:r>
      <w:r w:rsidRPr="00BE6D0C">
        <w:rPr>
          <w:sz w:val="20"/>
          <w:szCs w:val="20"/>
          <w:lang w:val="ru-RU"/>
        </w:rPr>
        <w:t xml:space="preserve"> </w:t>
      </w:r>
      <w:r w:rsidRPr="00BE6D0C">
        <w:rPr>
          <w:sz w:val="20"/>
          <w:szCs w:val="20"/>
        </w:rPr>
        <w:t>S</w:t>
      </w:r>
      <w:r w:rsidRPr="00BE6D0C">
        <w:rPr>
          <w:sz w:val="20"/>
          <w:szCs w:val="20"/>
          <w:lang w:val="ru-RU"/>
        </w:rPr>
        <w:t>.</w:t>
      </w:r>
      <w:r w:rsidRPr="00BE6D0C">
        <w:rPr>
          <w:sz w:val="20"/>
          <w:szCs w:val="20"/>
        </w:rPr>
        <w:t>A</w:t>
      </w:r>
      <w:r w:rsidRPr="00BE6D0C">
        <w:rPr>
          <w:sz w:val="20"/>
          <w:szCs w:val="20"/>
          <w:lang w:val="ru-RU"/>
        </w:rPr>
        <w:t>./</w:t>
      </w:r>
      <w:r w:rsidRPr="00BE6D0C">
        <w:rPr>
          <w:sz w:val="20"/>
          <w:szCs w:val="20"/>
        </w:rPr>
        <w:t>N</w:t>
      </w:r>
      <w:r w:rsidRPr="00BE6D0C">
        <w:rPr>
          <w:sz w:val="20"/>
          <w:szCs w:val="20"/>
          <w:lang w:val="ru-RU"/>
        </w:rPr>
        <w:t>.</w:t>
      </w:r>
      <w:r w:rsidRPr="00BE6D0C">
        <w:rPr>
          <w:sz w:val="20"/>
          <w:szCs w:val="20"/>
        </w:rPr>
        <w:t>V</w:t>
      </w:r>
      <w:r w:rsidRPr="00BE6D0C">
        <w:rPr>
          <w:sz w:val="20"/>
          <w:szCs w:val="20"/>
          <w:lang w:val="ru-RU"/>
        </w:rPr>
        <w:t>.</w:t>
      </w:r>
      <w:bookmarkStart w:id="0" w:name="_GoBack"/>
      <w:bookmarkEnd w:id="0"/>
    </w:p>
    <w:sectPr w:rsidR="008B4963" w:rsidRPr="00BE6D0C">
      <w:footerReference w:type="default" r:id="rId7"/>
      <w:pgSz w:w="11910" w:h="16850"/>
      <w:pgMar w:top="460" w:right="820" w:bottom="760" w:left="102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87" w:rsidRDefault="00016087">
      <w:r>
        <w:separator/>
      </w:r>
    </w:p>
  </w:endnote>
  <w:endnote w:type="continuationSeparator" w:id="0">
    <w:p w:rsidR="00016087" w:rsidRDefault="0001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D" w:rsidRDefault="0031462B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6461125</wp:posOffset>
              </wp:positionH>
              <wp:positionV relativeFrom="page">
                <wp:posOffset>10195560</wp:posOffset>
              </wp:positionV>
              <wp:extent cx="418465" cy="1327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9FD" w:rsidRDefault="00EA29F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75pt;margin-top:802.8pt;width:32.95pt;height:1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zS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" filled="f" stroked="f">
              <v:textbox inset="0,0,0,0">
                <w:txbxContent>
                  <w:p w:rsidR="00EA29FD" w:rsidRDefault="00EA29FD">
                    <w:pPr>
                      <w:spacing w:before="18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87" w:rsidRDefault="00016087">
      <w:r>
        <w:separator/>
      </w:r>
    </w:p>
  </w:footnote>
  <w:footnote w:type="continuationSeparator" w:id="0">
    <w:p w:rsidR="00016087" w:rsidRDefault="0001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730"/>
    <w:multiLevelType w:val="hybridMultilevel"/>
    <w:tmpl w:val="2F040EF0"/>
    <w:lvl w:ilvl="0" w:tplc="794AACE4">
      <w:numFmt w:val="bullet"/>
      <w:lvlText w:val=""/>
      <w:lvlJc w:val="left"/>
      <w:pPr>
        <w:ind w:left="301" w:hanging="75"/>
      </w:pPr>
      <w:rPr>
        <w:rFonts w:ascii="Symbol" w:eastAsia="Symbol" w:hAnsi="Symbol" w:cs="Symbol" w:hint="default"/>
        <w:spacing w:val="-1"/>
        <w:w w:val="100"/>
        <w:sz w:val="14"/>
        <w:szCs w:val="14"/>
        <w:lang w:val="en-US" w:eastAsia="en-US" w:bidi="ar-SA"/>
      </w:rPr>
    </w:lvl>
    <w:lvl w:ilvl="1" w:tplc="59D808DE">
      <w:numFmt w:val="bullet"/>
      <w:lvlText w:val=""/>
      <w:lvlJc w:val="left"/>
      <w:pPr>
        <w:ind w:left="2367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en-US" w:bidi="ar-SA"/>
      </w:rPr>
    </w:lvl>
    <w:lvl w:ilvl="2" w:tplc="739A4C3C">
      <w:numFmt w:val="bullet"/>
      <w:lvlText w:val="•"/>
      <w:lvlJc w:val="left"/>
      <w:pPr>
        <w:ind w:left="3216" w:hanging="93"/>
      </w:pPr>
      <w:rPr>
        <w:rFonts w:hint="default"/>
        <w:lang w:val="en-US" w:eastAsia="en-US" w:bidi="ar-SA"/>
      </w:rPr>
    </w:lvl>
    <w:lvl w:ilvl="3" w:tplc="E7A2DFE2">
      <w:numFmt w:val="bullet"/>
      <w:lvlText w:val="•"/>
      <w:lvlJc w:val="left"/>
      <w:pPr>
        <w:ind w:left="4072" w:hanging="93"/>
      </w:pPr>
      <w:rPr>
        <w:rFonts w:hint="default"/>
        <w:lang w:val="en-US" w:eastAsia="en-US" w:bidi="ar-SA"/>
      </w:rPr>
    </w:lvl>
    <w:lvl w:ilvl="4" w:tplc="6AE8E400">
      <w:numFmt w:val="bullet"/>
      <w:lvlText w:val="•"/>
      <w:lvlJc w:val="left"/>
      <w:pPr>
        <w:ind w:left="4928" w:hanging="93"/>
      </w:pPr>
      <w:rPr>
        <w:rFonts w:hint="default"/>
        <w:lang w:val="en-US" w:eastAsia="en-US" w:bidi="ar-SA"/>
      </w:rPr>
    </w:lvl>
    <w:lvl w:ilvl="5" w:tplc="7ABE5D6A">
      <w:numFmt w:val="bullet"/>
      <w:lvlText w:val="•"/>
      <w:lvlJc w:val="left"/>
      <w:pPr>
        <w:ind w:left="5785" w:hanging="93"/>
      </w:pPr>
      <w:rPr>
        <w:rFonts w:hint="default"/>
        <w:lang w:val="en-US" w:eastAsia="en-US" w:bidi="ar-SA"/>
      </w:rPr>
    </w:lvl>
    <w:lvl w:ilvl="6" w:tplc="1C0EAA64">
      <w:numFmt w:val="bullet"/>
      <w:lvlText w:val="•"/>
      <w:lvlJc w:val="left"/>
      <w:pPr>
        <w:ind w:left="6641" w:hanging="93"/>
      </w:pPr>
      <w:rPr>
        <w:rFonts w:hint="default"/>
        <w:lang w:val="en-US" w:eastAsia="en-US" w:bidi="ar-SA"/>
      </w:rPr>
    </w:lvl>
    <w:lvl w:ilvl="7" w:tplc="67E2BCB8">
      <w:numFmt w:val="bullet"/>
      <w:lvlText w:val="•"/>
      <w:lvlJc w:val="left"/>
      <w:pPr>
        <w:ind w:left="7497" w:hanging="93"/>
      </w:pPr>
      <w:rPr>
        <w:rFonts w:hint="default"/>
        <w:lang w:val="en-US" w:eastAsia="en-US" w:bidi="ar-SA"/>
      </w:rPr>
    </w:lvl>
    <w:lvl w:ilvl="8" w:tplc="7C24E4E0">
      <w:numFmt w:val="bullet"/>
      <w:lvlText w:val="•"/>
      <w:lvlJc w:val="left"/>
      <w:pPr>
        <w:ind w:left="8353" w:hanging="93"/>
      </w:pPr>
      <w:rPr>
        <w:rFonts w:hint="default"/>
        <w:lang w:val="en-US" w:eastAsia="en-US" w:bidi="ar-SA"/>
      </w:rPr>
    </w:lvl>
  </w:abstractNum>
  <w:abstractNum w:abstractNumId="1" w15:restartNumberingAfterBreak="0">
    <w:nsid w:val="511E3CAC"/>
    <w:multiLevelType w:val="hybridMultilevel"/>
    <w:tmpl w:val="8C94B3BE"/>
    <w:lvl w:ilvl="0" w:tplc="0C58C8A6">
      <w:numFmt w:val="bullet"/>
      <w:lvlText w:val=""/>
      <w:lvlJc w:val="left"/>
      <w:pPr>
        <w:ind w:left="335" w:hanging="75"/>
      </w:pPr>
      <w:rPr>
        <w:rFonts w:ascii="Symbol" w:eastAsia="Symbol" w:hAnsi="Symbol" w:cs="Symbol" w:hint="default"/>
        <w:spacing w:val="-1"/>
        <w:w w:val="100"/>
        <w:sz w:val="14"/>
        <w:szCs w:val="14"/>
        <w:lang w:val="en-US" w:eastAsia="en-US" w:bidi="ar-SA"/>
      </w:rPr>
    </w:lvl>
    <w:lvl w:ilvl="1" w:tplc="01F46B1A">
      <w:numFmt w:val="bullet"/>
      <w:lvlText w:val="•"/>
      <w:lvlJc w:val="left"/>
      <w:pPr>
        <w:ind w:left="701" w:hanging="75"/>
      </w:pPr>
      <w:rPr>
        <w:rFonts w:hint="default"/>
        <w:lang w:val="en-US" w:eastAsia="en-US" w:bidi="ar-SA"/>
      </w:rPr>
    </w:lvl>
    <w:lvl w:ilvl="2" w:tplc="5E6E24C0">
      <w:numFmt w:val="bullet"/>
      <w:lvlText w:val="•"/>
      <w:lvlJc w:val="left"/>
      <w:pPr>
        <w:ind w:left="1062" w:hanging="75"/>
      </w:pPr>
      <w:rPr>
        <w:rFonts w:hint="default"/>
        <w:lang w:val="en-US" w:eastAsia="en-US" w:bidi="ar-SA"/>
      </w:rPr>
    </w:lvl>
    <w:lvl w:ilvl="3" w:tplc="62E2F152">
      <w:numFmt w:val="bullet"/>
      <w:lvlText w:val="•"/>
      <w:lvlJc w:val="left"/>
      <w:pPr>
        <w:ind w:left="1424" w:hanging="75"/>
      </w:pPr>
      <w:rPr>
        <w:rFonts w:hint="default"/>
        <w:lang w:val="en-US" w:eastAsia="en-US" w:bidi="ar-SA"/>
      </w:rPr>
    </w:lvl>
    <w:lvl w:ilvl="4" w:tplc="747049BC">
      <w:numFmt w:val="bullet"/>
      <w:lvlText w:val="•"/>
      <w:lvlJc w:val="left"/>
      <w:pPr>
        <w:ind w:left="1785" w:hanging="75"/>
      </w:pPr>
      <w:rPr>
        <w:rFonts w:hint="default"/>
        <w:lang w:val="en-US" w:eastAsia="en-US" w:bidi="ar-SA"/>
      </w:rPr>
    </w:lvl>
    <w:lvl w:ilvl="5" w:tplc="48D0A358">
      <w:numFmt w:val="bullet"/>
      <w:lvlText w:val="•"/>
      <w:lvlJc w:val="left"/>
      <w:pPr>
        <w:ind w:left="2147" w:hanging="75"/>
      </w:pPr>
      <w:rPr>
        <w:rFonts w:hint="default"/>
        <w:lang w:val="en-US" w:eastAsia="en-US" w:bidi="ar-SA"/>
      </w:rPr>
    </w:lvl>
    <w:lvl w:ilvl="6" w:tplc="FB00F71A">
      <w:numFmt w:val="bullet"/>
      <w:lvlText w:val="•"/>
      <w:lvlJc w:val="left"/>
      <w:pPr>
        <w:ind w:left="2508" w:hanging="75"/>
      </w:pPr>
      <w:rPr>
        <w:rFonts w:hint="default"/>
        <w:lang w:val="en-US" w:eastAsia="en-US" w:bidi="ar-SA"/>
      </w:rPr>
    </w:lvl>
    <w:lvl w:ilvl="7" w:tplc="280001A2">
      <w:numFmt w:val="bullet"/>
      <w:lvlText w:val="•"/>
      <w:lvlJc w:val="left"/>
      <w:pPr>
        <w:ind w:left="2869" w:hanging="75"/>
      </w:pPr>
      <w:rPr>
        <w:rFonts w:hint="default"/>
        <w:lang w:val="en-US" w:eastAsia="en-US" w:bidi="ar-SA"/>
      </w:rPr>
    </w:lvl>
    <w:lvl w:ilvl="8" w:tplc="1C74CCF0">
      <w:numFmt w:val="bullet"/>
      <w:lvlText w:val="•"/>
      <w:lvlJc w:val="left"/>
      <w:pPr>
        <w:ind w:left="3231" w:hanging="7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D"/>
    <w:rsid w:val="00016087"/>
    <w:rsid w:val="00085E0F"/>
    <w:rsid w:val="000B6141"/>
    <w:rsid w:val="0031462B"/>
    <w:rsid w:val="00702A06"/>
    <w:rsid w:val="0086490B"/>
    <w:rsid w:val="008B4963"/>
    <w:rsid w:val="008F5B33"/>
    <w:rsid w:val="00BE6D0C"/>
    <w:rsid w:val="00EA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F03C1"/>
  <w15:docId w15:val="{E771E2D1-1A28-4EDC-8BF9-85AF915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00"/>
      <w:ind w:left="2003"/>
      <w:outlineLvl w:val="0"/>
    </w:pPr>
    <w:rPr>
      <w:rFonts w:ascii="Century Gothic" w:eastAsia="Century Gothic" w:hAnsi="Century Gothic" w:cs="Century Gothic"/>
      <w:b/>
      <w:bCs/>
    </w:rPr>
  </w:style>
  <w:style w:type="paragraph" w:styleId="2">
    <w:name w:val="heading 2"/>
    <w:basedOn w:val="a"/>
    <w:uiPriority w:val="1"/>
    <w:qFormat/>
    <w:pPr>
      <w:ind w:left="200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spacing w:before="99"/>
      <w:ind w:left="2003"/>
      <w:outlineLvl w:val="2"/>
    </w:pPr>
    <w:rPr>
      <w:rFonts w:ascii="Century Gothic" w:eastAsia="Century Gothic" w:hAnsi="Century Gothic" w:cs="Century Gothic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uiPriority w:val="1"/>
    <w:qFormat/>
    <w:pPr>
      <w:spacing w:before="215"/>
      <w:ind w:left="226"/>
    </w:pPr>
    <w:rPr>
      <w:rFonts w:ascii="Century Gothic" w:eastAsia="Century Gothic" w:hAnsi="Century Gothic" w:cs="Century Gothic"/>
      <w:sz w:val="56"/>
      <w:szCs w:val="56"/>
    </w:rPr>
  </w:style>
  <w:style w:type="paragraph" w:styleId="a5">
    <w:name w:val="List Paragraph"/>
    <w:basedOn w:val="a"/>
    <w:uiPriority w:val="1"/>
    <w:qFormat/>
    <w:pPr>
      <w:ind w:left="236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864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490B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864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49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Викторовна</dc:creator>
  <cp:lastModifiedBy>Кудряшова Анна Викторовна</cp:lastModifiedBy>
  <cp:revision>3</cp:revision>
  <dcterms:created xsi:type="dcterms:W3CDTF">2020-06-16T14:02:00Z</dcterms:created>
  <dcterms:modified xsi:type="dcterms:W3CDTF">2020-06-16T14:37:00Z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2020-06-15T00:00:00Z</vt:filetime>
  </property>
</Properties>
</file>