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rPr>
          <w:sz w:val="16"/>
          <w:szCs w:val="16"/>
        </w:rPr>
        <w:t xml:space="preserve">Дата действия с: 01.04.2024</w:t>
      </w:r>
    </w:p>
    <w:p>
      <w:pPr/>
      <w:r>
        <w:rPr/>
        <w:t xml:space="preserve"/>
      </w:r>
    </w:p>
    <w:p>
      <w:pPr>
        <w:jc w:val="center"/>
      </w:pPr>
      <w:r>
        <w:rPr>
          <w:rFonts w:ascii="Calibri" w:hAnsi="Calibri" w:eastAsia="Calibri" w:cs="Calibri"/>
          <w:sz w:val="24"/>
          <w:szCs w:val="24"/>
          <w:b w:val="1"/>
          <w:bCs w:val="1"/>
        </w:rPr>
        <w:t xml:space="preserve">Информация о депозитариях, в том числе иностранных организациях, открывших центральному депозитарию счет лица, действующего в интересах других лиц (счет депо номинального держателя) для учета прав на ценные бумаги</w:t>
      </w:r>
    </w:p>
    <w:p>
      <w:pPr/>
      <w:r>
        <w:rPr/>
        <w:t xml:space="preserve"/>
      </w:r>
    </w:p>
    <w:tbl>
      <w:tblGrid>
        <w:gridCol w:w="7500" w:type="dxa"/>
        <w:gridCol w:w="7500" w:type="dxa"/>
      </w:tblGrid>
      <w:tblPr>
        <w:tblW w:w="0" w:type="auto"/>
        <w:tblLayout w:type="autofit"/>
        <w:tblCellMar>
          <w:top w:w="50" w:type="dxa"/>
          <w:left w:w="100" w:type="dxa"/>
          <w:right w:w="100" w:type="dxa"/>
        </w:tblCellMar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7500" w:type="dxa"/>
            <w:vAlign w:val="center"/>
            <w:shd w:val="clear" w:fill="f2f2f2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  <w:b w:val="1"/>
                <w:bCs w:val="1"/>
              </w:rPr>
              <w:t xml:space="preserve">Наименование организации</w:t>
            </w:r>
          </w:p>
        </w:tc>
        <w:tc>
          <w:tcPr>
            <w:tcW w:w="7500" w:type="dxa"/>
            <w:vAlign w:val="center"/>
            <w:shd w:val="clear" w:fill="f2f2f2"/>
            <w:noWrap/>
          </w:tcPr>
          <w:p>
            <w:pPr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  <w:b w:val="1"/>
                <w:bCs w:val="1"/>
              </w:rPr>
              <w:t xml:space="preserve">Место нахождения (адрес центрального (головного) офиса организации)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Clearstream Banking S.A.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Люксембург (42 Avenue JF Kennedy L-1855 Luxembourg Luxembourg)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Euroclear Bank S.A./N.V.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Бельгия (1, Boulevard du Roi Albert II B - 1210 Brussels)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The Bank of New York Mellon, a New York banking corporation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One Wall Street New York, NY 10286, United States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Industrial and Commercial Bank of China (Asia) Limited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Гонконг (33/F ICBC Tower, 3 Garden Road, Central, Hong Kong)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Акционерное общество "Центральный депозитарий ценных бумаг"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Республика Казахстан (050051, г. Алматы, мкр. "Самал"-1, 28)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Республиканское унитарное предприятие "Республиканский центральный депозитарий ценных бумаг"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Республика Беларусь (220004, г. Минск, ул. Мельникайте, 2)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Закрытое Акционерное Общество «Национальный Депозитарный Центр»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Азербайджанская Республика (AZ1000, г. Баку, проспект Бюль-Бюля, 19)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Открытое Акционерное Общество «Центральный депозитарий Армении»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Республика Армения, 0010, г. Ереван, ул. Вазгена Саркисяна 26/1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Закрытое Акционерное Общество «Центральный депозитарий»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Кыргызская Республика (720010, г. Бишкек, ул. Московская, 172)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АО «Центральный Депозитарий Ценных Бумаг Грузии»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Грузия, г. Тбилиси, 0186, пр. Важа Пшавела 71</w:t>
            </w:r>
          </w:p>
        </w:tc>
      </w:tr>
      <w:tr>
        <w:trPr/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Citibank N.A. London Branch</w:t>
            </w:r>
          </w:p>
        </w:tc>
        <w:tc>
          <w:tcPr>
            <w:tcW w:w="7500" w:type="dxa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США (10013, 388 Greenwich Street, New York, NY)</w:t>
            </w:r>
          </w:p>
        </w:tc>
      </w:tr>
    </w:tbl>
    <w:sectPr>
      <w:pgSz w:orient="portrait" w:w="11905.511811023622" w:h="16837.79527559055"/>
      <w:pgMar w:top="500" w:right="1000" w:bottom="144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2024-04-01T11:30:45+03:00</dcterms:created>
  <dcterms:modified xsi:type="dcterms:W3CDTF">2024-04-01T11:30:45+03:00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